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JMNSTitle"/>
      </w:pPr>
      <w:r>
        <w:t>Supplementary File S1 - Additional Analyses and Sensitivity Results</w:t>
      </w:r>
    </w:p>
    <w:p>
      <w:pPr>
        <w:pStyle w:val="JMNSBody"/>
      </w:pPr>
      <w:r>
        <w:t>Time Course and Individual Heterogeneity of Disability Recovery After Spine Surgery: A Secondary Analysis of the SPINEREG Cohort</w:t>
      </w:r>
    </w:p>
    <w:p>
      <w:pPr>
        <w:pStyle w:val="JMNSBody"/>
      </w:pPr>
      <w:r>
        <w:t>Supplementary File S1 supports the main manuscript. Tables reproduce prespecified sensitivity, missingness, responder-sequence, and paired-change analyses from the frozen SPINEREG workflow; Table S8 reports standardized adjusted diagnosis trajectories used only for visualization in Figure 3A. The locked machine-readable counterparts are contained in Supplementary File S2 - Reproducibility Package.</w:t>
      </w:r>
    </w:p>
    <w:p>
      <w:pPr>
        <w:pStyle w:val="JMNSHeading1"/>
        <w:keepNext/>
      </w:pPr>
      <w:r>
        <w:t>Table S1. Observed ODI descriptives.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rPr>
          <w:tblHeader w:val="true"/>
          <w:cantSplit/>
        </w:trPr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time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n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mean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sd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median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q1</w:t>
            </w:r>
          </w:p>
        </w:tc>
        <w:tc>
          <w:tcPr>
            <w:tcW w:type="dxa" w:w="1392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q3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1392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46.841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16.401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46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35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60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837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23.179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18.885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20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8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35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970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21.676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19.164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17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33</w:t>
            </w:r>
          </w:p>
        </w:tc>
      </w:tr>
      <w:tr>
        <w:trPr>
          <w:cantSplit/>
        </w:trPr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661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20.162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19.084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14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13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32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</w:pPr>
      <w:r>
        <w:t>Table S2. Gaussian GEE sensitivity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  <w:cantSplit/>
        </w:trPr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low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high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term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46.841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0.439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45.979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47.702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23.608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22.452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24.764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22.22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0.578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21.087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23.353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21.108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0.657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19.821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22.395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-1.389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0.548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-2.464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-0.314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0.011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vs 6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-1.112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-2.366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0.143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0.082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12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-2.5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0.656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-3.787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-1.214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6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</w:pPr>
      <w:r>
        <w:t>Table S3. Complete-case mixed-model sensitivity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rPr>
          <w:tblHeader w:val="true"/>
          <w:cantSplit/>
        </w:trPr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low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high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complete case n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 holm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44.823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42.785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46.861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19.567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17.529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21.605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17.551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15.513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19.589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18.248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16.21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20.286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-2.016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-3.918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-0.114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0.038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vs 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0.113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0.697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-1.205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2.599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0.473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12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0.473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-1.319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-3.221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0.583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0.174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0.348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</w:pPr>
      <w:r>
        <w:t>Table S4. Baseline predictors of follow-up availability.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rPr>
          <w:tblHeader w:val="true"/>
          <w:cantSplit/>
        </w:trPr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followup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predictor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beta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OR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OR ci low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OR ci high</w:t>
            </w:r>
          </w:p>
        </w:tc>
        <w:tc>
          <w:tcPr>
            <w:tcW w:type="dxa" w:w="1218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Intercept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0.245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1.278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1.674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0.075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Baseline ODI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0.425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Hb (g/dL)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0.049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0.049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1.155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0.317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Age (years)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0.983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0.047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Female sex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-0.053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0.949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0.724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1.243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0.702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Deformity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0.571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0.175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1.77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1.256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2.493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Other back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0.126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1.094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0.854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1.402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0.475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2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0.063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0.151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1.065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0.793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1.432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0.675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3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0.072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0.236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1.074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0.677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1.705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0.761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Intercept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0.803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0.148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2.232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1.671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2.98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Baseline ODI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0.986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0.095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Hb (g/dL)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0.077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0.051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1.194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Age (years)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0.989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1.007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0.655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Female sex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0.146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0.749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1.33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0.990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Deformity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0.119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0.177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1.126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0.796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1.593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0.503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Other back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0.21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1.234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0.945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1.61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0.122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2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-0.082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0.161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0.921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0.672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1.264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0.611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3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0.249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0.906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0.556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1.476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0.691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Intercept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-0.091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0.913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1.191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0.502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Baseline ODI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1.006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0.810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Hb (g/dL)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0.017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0.048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1.017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0.925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1.119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0.721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Age (years)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-0.018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0.982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0.973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Female sex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-0.042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0.136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0.959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0.734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1.253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0.761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Deformity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-0.71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0.172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0.492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0.351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0.689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Other back vs disc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0.071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0.125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1.074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1.372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0.571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2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0.093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0.148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1.098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0.822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1.467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0.528</w:t>
            </w:r>
          </w:p>
        </w:tc>
      </w:tr>
      <w:tr>
        <w:trPr>
          <w:cantSplit/>
        </w:trPr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ASA 3 vs 1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0.055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0.234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1.056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0.668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1.67</w:t>
            </w:r>
          </w:p>
        </w:tc>
        <w:tc>
          <w:tcPr>
            <w:tcW w:type="dxa" w:w="121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0.815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  <w:pageBreakBefore/>
      </w:pPr>
      <w:r>
        <w:t>Table S5. Inverse-probability-weighted GEE sensitivity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  <w:cantSplit/>
        </w:trPr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se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low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high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</w:t>
            </w:r>
          </w:p>
        </w:tc>
        <w:tc>
          <w:tcPr>
            <w:tcW w:type="dxa" w:w="1624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term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46.841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0.439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45.979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47.702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23.736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0.595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22.569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24.903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22.583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0.589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21.427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23.738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21.68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0.685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20.338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23.023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&lt;0.001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months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-1.154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0.558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-2.247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0.039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vs 6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-0.902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0.673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-2.22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0.416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0.180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12</w:t>
            </w:r>
          </w:p>
        </w:tc>
      </w:tr>
      <w:tr>
        <w:trPr>
          <w:cantSplit/>
        </w:trPr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-2.056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0.685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-3.399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-0.713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0.003</w:t>
            </w:r>
          </w:p>
        </w:tc>
        <w:tc>
          <w:tcPr>
            <w:tcW w:type="dxa" w:w="162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6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  <w:pageBreakBefore/>
      </w:pPr>
      <w:r>
        <w:t>Table S6. Complete-case responder sequences.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rPr>
          <w:tblHeader w:val="true"/>
          <w:cantSplit/>
        </w:trPr>
        <w:tc>
          <w:tcPr>
            <w:tcW w:type="dxa" w:w="2436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Response threshold</w:t>
            </w:r>
          </w:p>
        </w:tc>
        <w:tc>
          <w:tcPr>
            <w:tcW w:type="dxa" w:w="2436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Sequence (6→12→24 months)</w:t>
            </w:r>
          </w:p>
        </w:tc>
        <w:tc>
          <w:tcPr>
            <w:tcW w:type="dxa" w:w="2436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n</w:t>
            </w:r>
          </w:p>
        </w:tc>
        <w:tc>
          <w:tcPr>
            <w:tcW w:type="dxa" w:w="2436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% of complete cases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000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19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7.5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001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3.9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3.9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011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8.7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100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9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3.5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101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7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2.8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15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5.9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≥30%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111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162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63.8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000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9.4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001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4.3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3.9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011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22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8.7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100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1.6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101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2.4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110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14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5.5</w:t>
            </w:r>
          </w:p>
        </w:tc>
      </w:tr>
      <w:tr>
        <w:trPr>
          <w:cantSplit/>
        </w:trPr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≥12.7-point reduction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111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163</w:t>
            </w:r>
          </w:p>
        </w:tc>
        <w:tc>
          <w:tcPr>
            <w:tcW w:type="dxa" w:w="243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64.2</w:t>
            </w:r>
          </w:p>
        </w:tc>
      </w:tr>
    </w:tbl>
    <w:p>
      <w:pPr>
        <w:pStyle w:val="JMNSTableNote"/>
      </w:pPr>
      <w:r>
        <w:t>Note. Sequence digits indicate threshold-defined responder status at 6, 12, and 24 months (1=responder; 0=non-responder) among the 254 participants with ODI observed at all three postoperative assessments. Leading zeros are retained explicitly.</w:t>
      </w:r>
    </w:p>
    <w:p>
      <w:pPr>
        <w:pStyle w:val="JMNSHeading1"/>
        <w:keepNext/>
      </w:pPr>
      <w:r>
        <w:t>Table S7. Paired postoperative changes.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blHeader w:val="true"/>
          <w:cantSplit/>
        </w:trPr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contrast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n pairs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mean change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sd change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low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ci high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p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median change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q1</w:t>
            </w:r>
          </w:p>
        </w:tc>
        <w:tc>
          <w:tcPr>
            <w:tcW w:type="dxa" w:w="975"/>
            <w:shd w:fill="D9EAF7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b/>
                <w:sz w:val="17"/>
              </w:rPr>
              <w:t>q3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 vs 6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593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-1.315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13.215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-2.379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-0.252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0.016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-9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12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394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-0.165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12.905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-1.439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1.109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0.800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-6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4.75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24 vs 6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343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-1.338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12.57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-2.668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-0.008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0.049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-2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-8</w:t>
            </w:r>
          </w:p>
        </w:tc>
        <w:tc>
          <w:tcPr>
            <w:tcW w:type="dxa" w:w="97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4</w:t>
            </w:r>
          </w:p>
        </w:tc>
      </w:tr>
    </w:tbl>
    <w:p>
      <w:pPr>
        <w:pStyle w:val="JMNSTableNote"/>
      </w:pPr>
      <w:r>
        <w:rPr>
          <w:b/>
        </w:rPr>
        <w:t xml:space="preserve">Note. </w:t>
      </w:r>
      <w:r>
        <w:t>Values reproduced directly from the locked analysis outputs in the SPINEREG reproducibility package.</w:t>
      </w:r>
    </w:p>
    <w:p>
      <w:pPr>
        <w:pStyle w:val="JMNSHeading1"/>
        <w:keepNext/>
      </w:pPr>
      <w:r>
        <w:t>Table S8. Standardized adjusted postoperative ODI trajectories by diagnosis used in Figure 3A.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  <w:cantSplit/>
        </w:trPr>
        <w:tc>
          <w:tcPr>
            <w:tcW w:type="dxa" w:w="1949"/>
          </w:tcPr>
          <w:p>
            <w:r>
              <w:t>Diagnostic group</w:t>
            </w:r>
          </w:p>
        </w:tc>
        <w:tc>
          <w:tcPr>
            <w:tcW w:type="dxa" w:w="1949"/>
          </w:tcPr>
          <w:p>
            <w:r>
              <w:t>Months</w:t>
            </w:r>
          </w:p>
        </w:tc>
        <w:tc>
          <w:tcPr>
            <w:tcW w:type="dxa" w:w="1949"/>
          </w:tcPr>
          <w:p>
            <w:r>
              <w:t>Adjusted ODI</w:t>
            </w:r>
          </w:p>
        </w:tc>
        <w:tc>
          <w:tcPr>
            <w:tcW w:type="dxa" w:w="1949"/>
          </w:tcPr>
          <w:p>
            <w:r>
              <w:t>95% CI low</w:t>
            </w:r>
          </w:p>
        </w:tc>
        <w:tc>
          <w:tcPr>
            <w:tcW w:type="dxa" w:w="1949"/>
          </w:tcPr>
          <w:p>
            <w:r>
              <w:t>95% CI high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Spinal deformity</w:t>
            </w:r>
          </w:p>
        </w:tc>
        <w:tc>
          <w:tcPr>
            <w:tcW w:type="dxa" w:w="1949"/>
          </w:tcPr>
          <w:p>
            <w:r>
              <w:t>6</w:t>
            </w:r>
          </w:p>
        </w:tc>
        <w:tc>
          <w:tcPr>
            <w:tcW w:type="dxa" w:w="1949"/>
          </w:tcPr>
          <w:p>
            <w:r>
              <w:t>29.72</w:t>
            </w:r>
          </w:p>
        </w:tc>
        <w:tc>
          <w:tcPr>
            <w:tcW w:type="dxa" w:w="1949"/>
          </w:tcPr>
          <w:p>
            <w:r>
              <w:t>27.13</w:t>
            </w:r>
          </w:p>
        </w:tc>
        <w:tc>
          <w:tcPr>
            <w:tcW w:type="dxa" w:w="1949"/>
          </w:tcPr>
          <w:p>
            <w:r>
              <w:t>32.31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Spinal deformity</w:t>
            </w:r>
          </w:p>
        </w:tc>
        <w:tc>
          <w:tcPr>
            <w:tcW w:type="dxa" w:w="1949"/>
          </w:tcPr>
          <w:p>
            <w:r>
              <w:t>12</w:t>
            </w:r>
          </w:p>
        </w:tc>
        <w:tc>
          <w:tcPr>
            <w:tcW w:type="dxa" w:w="1949"/>
          </w:tcPr>
          <w:p>
            <w:r>
              <w:t>27.47</w:t>
            </w:r>
          </w:p>
        </w:tc>
        <w:tc>
          <w:tcPr>
            <w:tcW w:type="dxa" w:w="1949"/>
          </w:tcPr>
          <w:p>
            <w:r>
              <w:t>24.88</w:t>
            </w:r>
          </w:p>
        </w:tc>
        <w:tc>
          <w:tcPr>
            <w:tcW w:type="dxa" w:w="1949"/>
          </w:tcPr>
          <w:p>
            <w:r>
              <w:t>30.07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Spinal deformity</w:t>
            </w:r>
          </w:p>
        </w:tc>
        <w:tc>
          <w:tcPr>
            <w:tcW w:type="dxa" w:w="1949"/>
          </w:tcPr>
          <w:p>
            <w:r>
              <w:t>24</w:t>
            </w:r>
          </w:p>
        </w:tc>
        <w:tc>
          <w:tcPr>
            <w:tcW w:type="dxa" w:w="1949"/>
          </w:tcPr>
          <w:p>
            <w:r>
              <w:t>25.42</w:t>
            </w:r>
          </w:p>
        </w:tc>
        <w:tc>
          <w:tcPr>
            <w:tcW w:type="dxa" w:w="1949"/>
          </w:tcPr>
          <w:p>
            <w:r>
              <w:t>22.11</w:t>
            </w:r>
          </w:p>
        </w:tc>
        <w:tc>
          <w:tcPr>
            <w:tcW w:type="dxa" w:w="1949"/>
          </w:tcPr>
          <w:p>
            <w:r>
              <w:t>28.74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Disc disease</w:t>
            </w:r>
          </w:p>
        </w:tc>
        <w:tc>
          <w:tcPr>
            <w:tcW w:type="dxa" w:w="1949"/>
          </w:tcPr>
          <w:p>
            <w:r>
              <w:t>6</w:t>
            </w:r>
          </w:p>
        </w:tc>
        <w:tc>
          <w:tcPr>
            <w:tcW w:type="dxa" w:w="1949"/>
          </w:tcPr>
          <w:p>
            <w:r>
              <w:t>21.52</w:t>
            </w:r>
          </w:p>
        </w:tc>
        <w:tc>
          <w:tcPr>
            <w:tcW w:type="dxa" w:w="1949"/>
          </w:tcPr>
          <w:p>
            <w:r>
              <w:t>19.90</w:t>
            </w:r>
          </w:p>
        </w:tc>
        <w:tc>
          <w:tcPr>
            <w:tcW w:type="dxa" w:w="1949"/>
          </w:tcPr>
          <w:p>
            <w:r>
              <w:t>23.14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Disc disease</w:t>
            </w:r>
          </w:p>
        </w:tc>
        <w:tc>
          <w:tcPr>
            <w:tcW w:type="dxa" w:w="1949"/>
          </w:tcPr>
          <w:p>
            <w:r>
              <w:t>12</w:t>
            </w:r>
          </w:p>
        </w:tc>
        <w:tc>
          <w:tcPr>
            <w:tcW w:type="dxa" w:w="1949"/>
          </w:tcPr>
          <w:p>
            <w:r>
              <w:t>20.15</w:t>
            </w:r>
          </w:p>
        </w:tc>
        <w:tc>
          <w:tcPr>
            <w:tcW w:type="dxa" w:w="1949"/>
          </w:tcPr>
          <w:p>
            <w:r>
              <w:t>18.60</w:t>
            </w:r>
          </w:p>
        </w:tc>
        <w:tc>
          <w:tcPr>
            <w:tcW w:type="dxa" w:w="1949"/>
          </w:tcPr>
          <w:p>
            <w:r>
              <w:t>21.70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Disc disease</w:t>
            </w:r>
          </w:p>
        </w:tc>
        <w:tc>
          <w:tcPr>
            <w:tcW w:type="dxa" w:w="1949"/>
          </w:tcPr>
          <w:p>
            <w:r>
              <w:t>24</w:t>
            </w:r>
          </w:p>
        </w:tc>
        <w:tc>
          <w:tcPr>
            <w:tcW w:type="dxa" w:w="1949"/>
          </w:tcPr>
          <w:p>
            <w:r>
              <w:t>19.74</w:t>
            </w:r>
          </w:p>
        </w:tc>
        <w:tc>
          <w:tcPr>
            <w:tcW w:type="dxa" w:w="1949"/>
          </w:tcPr>
          <w:p>
            <w:r>
              <w:t>18.05</w:t>
            </w:r>
          </w:p>
        </w:tc>
        <w:tc>
          <w:tcPr>
            <w:tcW w:type="dxa" w:w="1949"/>
          </w:tcPr>
          <w:p>
            <w:r>
              <w:t>21.43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Other back surgery</w:t>
            </w:r>
          </w:p>
        </w:tc>
        <w:tc>
          <w:tcPr>
            <w:tcW w:type="dxa" w:w="1949"/>
          </w:tcPr>
          <w:p>
            <w:r>
              <w:t>6</w:t>
            </w:r>
          </w:p>
        </w:tc>
        <w:tc>
          <w:tcPr>
            <w:tcW w:type="dxa" w:w="1949"/>
          </w:tcPr>
          <w:p>
            <w:r>
              <w:t>23.51</w:t>
            </w:r>
          </w:p>
        </w:tc>
        <w:tc>
          <w:tcPr>
            <w:tcW w:type="dxa" w:w="1949"/>
          </w:tcPr>
          <w:p>
            <w:r>
              <w:t>21.79</w:t>
            </w:r>
          </w:p>
        </w:tc>
        <w:tc>
          <w:tcPr>
            <w:tcW w:type="dxa" w:w="1949"/>
          </w:tcPr>
          <w:p>
            <w:r>
              <w:t>25.23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Other back surgery</w:t>
            </w:r>
          </w:p>
        </w:tc>
        <w:tc>
          <w:tcPr>
            <w:tcW w:type="dxa" w:w="1949"/>
          </w:tcPr>
          <w:p>
            <w:r>
              <w:t>12</w:t>
            </w:r>
          </w:p>
        </w:tc>
        <w:tc>
          <w:tcPr>
            <w:tcW w:type="dxa" w:w="1949"/>
          </w:tcPr>
          <w:p>
            <w:r>
              <w:t>22.85</w:t>
            </w:r>
          </w:p>
        </w:tc>
        <w:tc>
          <w:tcPr>
            <w:tcW w:type="dxa" w:w="1949"/>
          </w:tcPr>
          <w:p>
            <w:r>
              <w:t>21.22</w:t>
            </w:r>
          </w:p>
        </w:tc>
        <w:tc>
          <w:tcPr>
            <w:tcW w:type="dxa" w:w="1949"/>
          </w:tcPr>
          <w:p>
            <w:r>
              <w:t>24.48</w:t>
            </w:r>
          </w:p>
        </w:tc>
      </w:tr>
      <w:tr>
        <w:trPr>
          <w:cantSplit/>
        </w:trPr>
        <w:tc>
          <w:tcPr>
            <w:tcW w:type="dxa" w:w="1949"/>
          </w:tcPr>
          <w:p>
            <w:r>
              <w:t>Other back surgery</w:t>
            </w:r>
          </w:p>
        </w:tc>
        <w:tc>
          <w:tcPr>
            <w:tcW w:type="dxa" w:w="1949"/>
          </w:tcPr>
          <w:p>
            <w:r>
              <w:t>24</w:t>
            </w:r>
          </w:p>
        </w:tc>
        <w:tc>
          <w:tcPr>
            <w:tcW w:type="dxa" w:w="1949"/>
          </w:tcPr>
          <w:p>
            <w:r>
              <w:t>22.71</w:t>
            </w:r>
          </w:p>
        </w:tc>
        <w:tc>
          <w:tcPr>
            <w:tcW w:type="dxa" w:w="1949"/>
          </w:tcPr>
          <w:p>
            <w:r>
              <w:t>20.89</w:t>
            </w:r>
          </w:p>
        </w:tc>
        <w:tc>
          <w:tcPr>
            <w:tcW w:type="dxa" w:w="1949"/>
          </w:tcPr>
          <w:p>
            <w:r>
              <w:t>24.54</w:t>
            </w:r>
          </w:p>
        </w:tc>
      </w:tr>
    </w:tbl>
    <w:p>
      <w:pPr>
        <w:pStyle w:val="JMNSTableNote"/>
      </w:pPr>
      <w:r>
        <w:t>Note. Values are model-based standardized marginal means, averaged over the cohort covariate distribution. They are presentation estimates for Figure 3A; diagnosis-specific inferential contrasts are reported in the main manuscript and frozen analysis outputs.</w:t>
      </w:r>
    </w:p>
    <w:p>
      <w:pPr>
        <w:pStyle w:val="JMNSHeading1"/>
        <w:keepNext/>
      </w:pPr>
      <w:r>
        <w:t>Data-integrity statement</w:t>
      </w:r>
    </w:p>
    <w:p>
      <w:pPr>
        <w:pStyle w:val="JMNSBody"/>
      </w:pPr>
      <w:r>
        <w:t>The source workbook SHA-256 was 03c0f51af84bc4e8c2fbcf8deef52993d6abb14057a236928a9e47eb1daa4e3f. The uploaded raw XLSX and the XLSX contained in the repository ZIP were byte-identical. The raw workbook was not modified; all derived analysis files were created separately. The public workbook contained 1,392 patient rows and no explicit patient identifier, so a deterministic analysis-only row identifier was used.</w:t>
      </w:r>
    </w:p>
    <w:p>
      <w:pPr>
        <w:pStyle w:val="JMNSHeading1"/>
        <w:keepNext/>
      </w:pPr>
      <w:r>
        <w:t>Reproducibility</w:t>
      </w:r>
    </w:p>
    <w:p>
      <w:pPr>
        <w:pStyle w:val="JMNSBody"/>
      </w:pPr>
      <w:r>
        <w:t>Supplementary File S2 - Reproducibility Package contains the frozen SAP, analysis-ready wide and long CSV files, checksum manifest, the complete primary analysis script, executed Jupyter notebook, machine-readable result tables, and publication figures. SPINEREG_secondary_analysis.py reproduces the locked statistical outputs; SPINEREG_publication_figures.py recreates the redesigned publication figures from those outputs and the analysis-ready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1134" w:left="1247" w:header="454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152"/>
      <w:gridCol w:w="7056"/>
      <w:gridCol w:w="1152"/>
    </w:tblGrid>
    <w:tr>
      <w:trPr>
        <w:tblHeader w:val="true"/>
      </w:trPr>
      <w:tc>
        <w:tcPr>
          <w:tcW w:type="dxa" w:w="3120"/>
          <w:tcMar>
            <w:top w:w="20" w:type="dxa"/>
            <w:start w:w="40" w:type="dxa"/>
            <w:bottom w:w="20" w:type="dxa"/>
            <w:end w:w="40" w:type="dxa"/>
          </w:tcMar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16520" cy="468000"/>
                <wp:docPr id="1" name="Picture 1" descr="JMNS phoenix emblem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52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20"/>
          <w:tcMar>
            <w:top w:w="20" w:type="dxa"/>
            <w:start w:w="40" w:type="dxa"/>
            <w:bottom w:w="20" w:type="dxa"/>
            <w:end w:w="40" w:type="dxa"/>
          </w:tcMar>
        </w:tcPr>
        <w:p>
          <w:pPr>
            <w:jc w:val="center"/>
          </w:pPr>
          <w:r>
            <w:rPr>
              <w:rFonts w:ascii="Aptos" w:hAnsi="Aptos"/>
              <w:b/>
              <w:color w:val="0D3B43"/>
              <w:sz w:val="25"/>
            </w:rPr>
            <w:t>Journal of Movement &amp; Neuromuscular Science</w:t>
          </w:r>
        </w:p>
        <w:p>
          <w:pPr>
            <w:jc w:val="center"/>
          </w:pPr>
          <w:r>
            <w:rPr>
              <w:color w:val="596569"/>
              <w:sz w:val="16"/>
            </w:rPr>
            <w:t>Noventra Scientific Publishing</w:t>
          </w:r>
        </w:p>
      </w:tc>
      <w:tc>
        <w:tcPr>
          <w:tcW w:type="dxa" w:w="3120"/>
          <w:tcMar>
            <w:top w:w="20" w:type="dxa"/>
            <w:start w:w="40" w:type="dxa"/>
            <w:bottom w:w="20" w:type="dxa"/>
            <w:end w:w="40" w:type="dxa"/>
          </w:tcMar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68766" cy="576000"/>
                <wp:docPr id="2" name="Picture 2" descr="JMNS journal mini-cove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766" cy="57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028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MNSTitle">
    <w:name w:val="JMNS Title"/>
    <w:basedOn w:val="Title"/>
    <w:pPr>
      <w:spacing w:before="0" w:after="160" w:line="259" w:lineRule="auto"/>
    </w:pPr>
    <w:rPr>
      <w:rFonts w:ascii="Aptos" w:hAnsi="Aptos"/>
      <w:b/>
      <w:color w:val="0D3B43"/>
      <w:sz w:val="40"/>
    </w:rPr>
  </w:style>
  <w:style w:type="paragraph" w:customStyle="1" w:styleId="JMNSAuthor">
    <w:name w:val="JMNS Author"/>
    <w:basedOn w:val="Normal"/>
    <w:pPr>
      <w:spacing w:before="0" w:after="40" w:line="259" w:lineRule="auto"/>
    </w:pPr>
    <w:rPr>
      <w:rFonts w:ascii="Aptos" w:hAnsi="Aptos"/>
      <w:b/>
      <w:color w:val="0D3B43"/>
      <w:sz w:val="21"/>
    </w:rPr>
  </w:style>
  <w:style w:type="paragraph" w:customStyle="1" w:styleId="JMNSAffiliation">
    <w:name w:val="JMNS Affiliation"/>
    <w:basedOn w:val="Normal"/>
    <w:pPr>
      <w:spacing w:before="0" w:after="40" w:line="259" w:lineRule="auto"/>
    </w:pPr>
    <w:rPr>
      <w:rFonts w:ascii="Aptos" w:hAnsi="Aptos"/>
      <w:b w:val="0"/>
      <w:color w:val="596569"/>
      <w:sz w:val="18"/>
    </w:rPr>
  </w:style>
  <w:style w:type="paragraph" w:customStyle="1" w:styleId="JMNSAbstract">
    <w:name w:val="JMNS Abstract"/>
    <w:basedOn w:val="Normal"/>
    <w:pPr>
      <w:spacing w:before="0" w:after="100" w:line="259" w:lineRule="auto"/>
    </w:pPr>
    <w:rPr>
      <w:rFonts w:ascii="Aptos" w:hAnsi="Aptos"/>
      <w:b w:val="0"/>
      <w:color w:val="20282A"/>
      <w:sz w:val="20"/>
    </w:rPr>
  </w:style>
  <w:style w:type="paragraph" w:customStyle="1" w:styleId="JMNSKeywords">
    <w:name w:val="JMNS Keywords"/>
    <w:basedOn w:val="Normal"/>
    <w:pPr>
      <w:spacing w:before="0" w:after="120" w:line="259" w:lineRule="auto"/>
    </w:pPr>
    <w:rPr>
      <w:rFonts w:ascii="Aptos" w:hAnsi="Aptos"/>
      <w:b w:val="0"/>
      <w:color w:val="0D3B43"/>
      <w:sz w:val="19"/>
    </w:rPr>
  </w:style>
  <w:style w:type="paragraph" w:customStyle="1" w:styleId="JMNSHeading1">
    <w:name w:val="JMNS Heading 1"/>
    <w:basedOn w:val="Heading1"/>
    <w:pPr>
      <w:keepNext/>
      <w:spacing w:before="200" w:after="100" w:line="259" w:lineRule="auto"/>
      <w:outlineLvl w:val="0"/>
    </w:pPr>
    <w:rPr>
      <w:rFonts w:ascii="Aptos" w:hAnsi="Aptos"/>
      <w:b/>
      <w:color w:val="0D3B43"/>
      <w:sz w:val="31"/>
    </w:rPr>
  </w:style>
  <w:style w:type="paragraph" w:customStyle="1" w:styleId="JMNSHeading2">
    <w:name w:val="JMNS Heading 2"/>
    <w:basedOn w:val="Heading2"/>
    <w:pPr>
      <w:keepNext/>
      <w:spacing w:before="160" w:after="80" w:line="259" w:lineRule="auto"/>
      <w:outlineLvl w:val="1"/>
    </w:pPr>
    <w:rPr>
      <w:rFonts w:ascii="Aptos" w:hAnsi="Aptos"/>
      <w:b/>
      <w:color w:val="1596A8"/>
      <w:sz w:val="25"/>
    </w:rPr>
  </w:style>
  <w:style w:type="paragraph" w:customStyle="1" w:styleId="JMNSHeading3">
    <w:name w:val="JMNS Heading 3"/>
    <w:basedOn w:val="Heading3"/>
    <w:pPr>
      <w:keepNext/>
      <w:spacing w:before="120" w:after="60" w:line="259" w:lineRule="auto"/>
      <w:outlineLvl w:val="2"/>
    </w:pPr>
    <w:rPr>
      <w:rFonts w:ascii="Aptos" w:hAnsi="Aptos"/>
      <w:b/>
      <w:color w:val="1596A8"/>
      <w:sz w:val="22"/>
    </w:rPr>
  </w:style>
  <w:style w:type="paragraph" w:customStyle="1" w:styleId="JMNSBody">
    <w:name w:val="JMNS Body"/>
    <w:basedOn w:val="Normal"/>
    <w:pPr>
      <w:spacing w:before="0" w:after="100" w:line="259" w:lineRule="auto"/>
    </w:pPr>
    <w:rPr>
      <w:rFonts w:ascii="Aptos" w:hAnsi="Aptos"/>
      <w:b w:val="0"/>
      <w:color w:val="20282A"/>
      <w:sz w:val="21"/>
    </w:rPr>
  </w:style>
  <w:style w:type="paragraph" w:customStyle="1" w:styleId="JMNSFigure">
    <w:name w:val="JMNS Figure"/>
    <w:basedOn w:val="Normal"/>
    <w:pPr>
      <w:spacing w:before="120" w:after="40" w:line="259" w:lineRule="auto"/>
      <w:jc w:val="center"/>
    </w:pPr>
    <w:rPr>
      <w:rFonts w:ascii="Aptos" w:hAnsi="Aptos"/>
      <w:b w:val="0"/>
      <w:color w:val="20282A"/>
      <w:sz w:val="20"/>
    </w:rPr>
  </w:style>
  <w:style w:type="paragraph" w:customStyle="1" w:styleId="JMNSFigureCaption">
    <w:name w:val="JMNS Figure Caption"/>
    <w:basedOn w:val="Caption"/>
    <w:pPr>
      <w:spacing w:before="40" w:after="160" w:line="259" w:lineRule="auto"/>
    </w:pPr>
    <w:rPr>
      <w:rFonts w:ascii="Aptos" w:hAnsi="Aptos"/>
      <w:b w:val="0"/>
      <w:color w:val="596569"/>
      <w:sz w:val="18"/>
    </w:rPr>
  </w:style>
  <w:style w:type="paragraph" w:customStyle="1" w:styleId="JMNSTable">
    <w:name w:val="JMNS Table"/>
    <w:basedOn w:val="Normal"/>
    <w:pPr>
      <w:spacing w:before="80" w:after="40" w:line="259" w:lineRule="auto"/>
    </w:pPr>
    <w:rPr>
      <w:rFonts w:ascii="Aptos" w:hAnsi="Aptos"/>
      <w:b w:val="0"/>
      <w:color w:val="20282A"/>
      <w:sz w:val="18"/>
    </w:rPr>
  </w:style>
  <w:style w:type="paragraph" w:customStyle="1" w:styleId="JMNSTableNote">
    <w:name w:val="JMNS Table Note"/>
    <w:basedOn w:val="Normal"/>
    <w:pPr>
      <w:spacing w:before="40" w:after="140" w:line="259" w:lineRule="auto"/>
    </w:pPr>
    <w:rPr>
      <w:rFonts w:ascii="Aptos" w:hAnsi="Aptos"/>
      <w:b w:val="0"/>
      <w:color w:val="596569"/>
      <w:sz w:val="17"/>
    </w:rPr>
  </w:style>
  <w:style w:type="paragraph" w:customStyle="1" w:styleId="JMNSFormula">
    <w:name w:val="JMNS Formula"/>
    <w:basedOn w:val="Normal"/>
    <w:pPr>
      <w:spacing w:before="120" w:after="120" w:line="259" w:lineRule="auto"/>
      <w:jc w:val="center"/>
    </w:pPr>
    <w:rPr>
      <w:rFonts w:ascii="Aptos" w:hAnsi="Aptos"/>
      <w:b w:val="0"/>
      <w:color w:val="20282A"/>
      <w:sz w:val="21"/>
    </w:rPr>
  </w:style>
  <w:style w:type="paragraph" w:customStyle="1" w:styleId="JMNSReference">
    <w:name w:val="JMNS Reference"/>
    <w:basedOn w:val="Normal"/>
    <w:pPr>
      <w:spacing w:before="0" w:after="80" w:line="259" w:lineRule="auto"/>
    </w:pPr>
    <w:rPr>
      <w:rFonts w:ascii="Aptos" w:hAnsi="Aptos"/>
      <w:b w:val="0"/>
      <w:color w:val="20282A"/>
      <w:sz w:val="18"/>
    </w:rPr>
  </w:style>
  <w:style w:type="paragraph" w:customStyle="1" w:styleId="JMNSDeclaration">
    <w:name w:val="JMNS Declaration"/>
    <w:basedOn w:val="Normal"/>
    <w:pPr>
      <w:spacing w:before="0" w:after="100" w:line="259" w:lineRule="auto"/>
    </w:pPr>
    <w:rPr>
      <w:rFonts w:ascii="Aptos" w:hAnsi="Aptos"/>
      <w:b w:val="0"/>
      <w:color w:val="20282A"/>
      <w:sz w:val="19"/>
    </w:rPr>
  </w:style>
  <w:style w:type="paragraph" w:customStyle="1" w:styleId="JMNSSupplement">
    <w:name w:val="JMNS Supplement"/>
    <w:basedOn w:val="Normal"/>
    <w:pPr>
      <w:spacing w:before="0" w:after="100" w:line="259" w:lineRule="auto"/>
    </w:pPr>
    <w:rPr>
      <w:rFonts w:ascii="Aptos" w:hAnsi="Aptos"/>
      <w:b w:val="0"/>
      <w:color w:val="20282A"/>
      <w:sz w:val="20"/>
    </w:rPr>
  </w:style>
  <w:style w:type="paragraph" w:customStyle="1" w:styleId="JMNSMetadata">
    <w:name w:val="JMNS Metadata"/>
    <w:basedOn w:val="Normal"/>
    <w:pPr>
      <w:spacing w:before="0" w:after="60" w:line="259" w:lineRule="auto"/>
    </w:pPr>
    <w:rPr>
      <w:rFonts w:ascii="Aptos" w:hAnsi="Aptos"/>
      <w:b w:val="0"/>
      <w:color w:val="20282A"/>
      <w:sz w:val="18"/>
    </w:rPr>
  </w:style>
  <w:style w:type="paragraph" w:customStyle="1" w:styleId="JMNSInstruction">
    <w:name w:val="JMNS Instruction"/>
    <w:basedOn w:val="Normal"/>
    <w:pPr>
      <w:spacing w:before="0" w:after="80" w:line="259" w:lineRule="auto"/>
    </w:pPr>
    <w:rPr>
      <w:rFonts w:ascii="Aptos" w:hAnsi="Aptos"/>
      <w:b w:val="0"/>
      <w:i/>
      <w:color w:val="596569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- Longitudinal Disability Recovery After Spine Surgery: Early Improvement, Limited Late Change, and Individual Responder Heterogeneity in 1,392 Patients From the SPINEREG Cohort</dc:title>
  <dc:subject>JMNS structured manuscript template</dc:subject>
  <dc:creator>Authors to be defined</dc:creator>
  <cp:keywords>JMNS_TEMPLATE_VERSION=1.0; STRUCTURED_STYLES=YES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